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Default="00AE0E53" w:rsidP="00AE0E53">
      <w:pPr>
        <w:jc w:val="center"/>
        <w:rPr>
          <w:rFonts w:ascii="Times New Roman" w:hAnsi="Times New Roman"/>
          <w:sz w:val="24"/>
          <w:szCs w:val="22"/>
        </w:rPr>
      </w:pPr>
      <w:r>
        <w:rPr>
          <w:rFonts w:ascii="Times New Roman" w:hAnsi="Times New Roman"/>
          <w:sz w:val="24"/>
        </w:rPr>
        <w:t>NL</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Pr>
          <w:rFonts w:ascii="Times New Roman" w:hAnsi="Times New Roman"/>
          <w:sz w:val="24"/>
        </w:rPr>
        <w:t>BIJLAGE II</w:t>
      </w:r>
    </w:p>
    <w:p w14:paraId="2357EEF1" w14:textId="77777777" w:rsidR="00081E64" w:rsidRPr="00037E7B" w:rsidRDefault="00081E64" w:rsidP="00081E64">
      <w:pPr>
        <w:jc w:val="center"/>
        <w:rPr>
          <w:rFonts w:ascii="Times New Roman" w:hAnsi="Times New Roman"/>
          <w:sz w:val="24"/>
        </w:rPr>
      </w:pPr>
      <w:r>
        <w:rPr>
          <w:rFonts w:ascii="Times New Roman" w:hAnsi="Times New Roman"/>
          <w:sz w:val="24"/>
        </w:rPr>
        <w:t>“BIJLAGE II</w:t>
      </w:r>
    </w:p>
    <w:p w14:paraId="7F765EB3" w14:textId="77777777" w:rsidR="00081E64" w:rsidRPr="00037E7B" w:rsidRDefault="00081E64" w:rsidP="00081E64">
      <w:pPr>
        <w:jc w:val="center"/>
        <w:rPr>
          <w:rFonts w:ascii="Times New Roman" w:hAnsi="Times New Roman"/>
          <w:b/>
          <w:sz w:val="24"/>
        </w:rPr>
      </w:pPr>
      <w:r>
        <w:rPr>
          <w:rFonts w:ascii="Times New Roman" w:hAnsi="Times New Roman"/>
          <w:b/>
          <w:sz w:val="24"/>
        </w:rPr>
        <w:t>INSTRUCTIES VOOR RAPPORTAGE INZAKE EIGEN VERMOGEN EN EIGENVERMOGENSVEREISTEN</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DEEL II: INSTRUCTIES MET BETREKKING TOT DE TEMPLATES</w:t>
      </w:r>
    </w:p>
    <w:p w14:paraId="2BF7D6A1" w14:textId="77777777" w:rsidR="00081E64"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8. NPE-verliesdekking (NPE LC)</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Pr>
          <w:rFonts w:ascii="Times New Roman" w:hAnsi="Times New Roman"/>
          <w:sz w:val="24"/>
          <w:u w:val="none"/>
        </w:rPr>
        <w:t>8.1.</w:t>
      </w:r>
      <w:r>
        <w:rPr>
          <w:rFonts w:ascii="Times New Roman" w:hAnsi="Times New Roman"/>
          <w:sz w:val="24"/>
          <w:u w:val="none"/>
        </w:rPr>
        <w:tab/>
        <w:t>Algemene opmerkingen</w:t>
      </w:r>
      <w:bookmarkEnd w:id="0"/>
      <w:bookmarkEnd w:id="1"/>
      <w:r>
        <w:rPr>
          <w:rFonts w:ascii="Times New Roman" w:hAnsi="Times New Roman"/>
          <w:sz w:val="24"/>
          <w:u w:val="none"/>
        </w:rPr>
        <w:t xml:space="preserve"> </w:t>
      </w:r>
    </w:p>
    <w:p w14:paraId="1616B9C3"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202</w:t>
      </w:r>
      <w:r w:rsidRPr="005B57EC">
        <w:fldChar w:fldCharType="end"/>
      </w:r>
      <w:r>
        <w:t>. De templates voor NPE-verliesdekking bevatten informatie over niet-renderende blootstellingen (“NPE’s”) voor de berekening van het minimale verliesdekkingsvereiste voor niet-renderende blootstellingen als gespecificeerd in de artikelen 47 bis, 47 ter en 47 quater van Verordening (EU) nr. 575/2013.</w:t>
      </w:r>
    </w:p>
    <w:p w14:paraId="00E13494"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203</w:t>
      </w:r>
      <w:r w:rsidRPr="005B57EC">
        <w:fldChar w:fldCharType="end"/>
      </w:r>
      <w:r>
        <w:t>. Het blok templates bestaat uit een reeks van drie templates:</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De berekening van aftrekkingen voor NPE’s (C 35.01): dit is een overzichtstemplate met het toepasselijke bedrag van onvoldoende dekking, berekend als het verschil tussen de totale minimumdekkingsvereisten voor NPE’s en de totale voorzieningen en aanpassingen of aftrekkingen die reeds zijn verricht. De template bestrijkt zowel de niet-renderende blootstellingen waarvoor geen respijtmaatregel is toegekend, als niet-renderende respijtblootstellingen.</w:t>
      </w:r>
    </w:p>
    <w:p w14:paraId="614FD05F" w14:textId="77777777" w:rsidR="00E7212E" w:rsidRPr="002A677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Minimumdekkingsvereisten en blootstellingswaarden van niet-renderende blootstellingen, exclusief respijtblootstellingen die onder artikel 47 quater, lid 6, van Verordening (EU) nr. 575/2013 vallen (C 35.02): de template berekent de totale minimumdekkingsvereisten voor niet-renderende blootstellingen die geen niet-renderende respijtblootstellingen zijn die onder artikel 47 quater, lid 6, van Verordening (EU) nr. 575/2013 vallen, met vermelding van de factoren die ten behoeve van deze berekening op de blootstellingswaarden moeten worden toegepast, afhankelijk van de vraag of de blootstelling gedekt of niet-gedekt is en afhankelijk van hoeveel tijd verstreken is sinds de blootstelling niet-renderend is geworden.</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Pr>
          <w:rFonts w:ascii="Times New Roman" w:hAnsi="Times New Roman"/>
          <w:sz w:val="24"/>
        </w:rPr>
        <w:t xml:space="preserve">Minimumdekkingsvereisten en blootstellingswaarden van niet-renderende blootstellingen, exclusief respijtblootstellingen die onder artikel 47 quater, lid 6, van Verordening (EU) nr. 575/2013 vallen (C 35.03): de template berekent de totale minimumdekkingsvereisten voor niet-renderende respijtblootstellingen die onder artikel 47 quater, lid 6, van Verordening (EU) nr. 575/2013 vallen, met vermelding van de factoren die bij deze berekening op de blootstellingswaarden moeten worden toegepast, afhankelijk van de vraag of de blootstelling gedekt of niet-gedekt is en </w:t>
      </w:r>
      <w:r>
        <w:rPr>
          <w:rFonts w:ascii="Times New Roman" w:hAnsi="Times New Roman"/>
          <w:sz w:val="24"/>
        </w:rPr>
        <w:lastRenderedPageBreak/>
        <w:t xml:space="preserve">afhankelijk van hoeveel tijd verstreken is sinds de blootstelling niet-renderend is geworden. </w:t>
      </w:r>
    </w:p>
    <w:p w14:paraId="00581AE0" w14:textId="6EF53D3E"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204</w:t>
      </w:r>
      <w:r w:rsidRPr="005B57EC">
        <w:fldChar w:fldCharType="end"/>
      </w:r>
      <w:r>
        <w:t>. Het minimale verliesdekkingsvereiste voor niet-renderende blootstellingen is van toepassing op: i) blootstellingen die zijn geïnitieerd op en na 26 april 2019 en die niet-renderend worden, en ii) blootstellingen die vóór 26 april 2019 zijn geïnitieerd wanneer zij na die datum zodanig worden gewijzigd dat daarmee de blootstelling aan de debiteur toeneemt (artikel 469 bis van Verordening (EU) nr. 575/2013) en die niet-renderend worden. In lijn met artikel 47 quater, lid 4 bis, van Verordening (EU) nr. 575/2013 is het minimale verliesdekkingsvereiste niet van toepassing op het deel van de niet-renderende blootstelling dat wordt gegarandeerd of verzekerd door een officiële exportkredietinstelling.</w:t>
      </w:r>
    </w:p>
    <w:p w14:paraId="4F0BBD38" w14:textId="513B716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205</w:t>
      </w:r>
      <w:r w:rsidRPr="005B57EC">
        <w:fldChar w:fldCharType="end"/>
      </w:r>
      <w:r>
        <w:t>. De instellingen berekenen de aftrekkingen voor NPE’s overeenkomstig artikel 47 quater, lid 1, punten a) en b), van Verordening (EU) nr. 575/2013, met inbegrip van de berekening van de minimumdekkingsvereisten en het totaal aan voorzieningen en aanpassingen of aftrekkingen, op het niveau van de individuele blootstelling (“transactiegebaseerd”) – en niet op debiteur- of portefeuilleniveau.</w:t>
      </w:r>
    </w:p>
    <w:p w14:paraId="1066EFE1"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206</w:t>
      </w:r>
      <w:r w:rsidRPr="005B57EC">
        <w:fldChar w:fldCharType="end"/>
      </w:r>
      <w:r>
        <w:t>. Voor de berekening van de aftrekkingen voor NPE’s maken de instellingen een onderscheid tussen het niet-gedekte en het gedekte deel van een NPE overeenkomstig artikel 47 quater, lid 1, van Verordening (EU) nr. 575/2013. Daartoe rapporteren de instellingen de blootstellingswaarden en minimumdekkingsvereisten afzonderlijk voor het niet-gedekte en voor het gedekte deel van NPE’s.</w:t>
      </w:r>
    </w:p>
    <w:bookmarkStart w:id="2" w:name="_Toc522019774"/>
    <w:p w14:paraId="782A124B" w14:textId="2131E94E" w:rsidR="00C6168C" w:rsidRDefault="00E7212E" w:rsidP="002567E9">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207</w:t>
      </w:r>
      <w:r w:rsidRPr="005B57EC">
        <w:fldChar w:fldCharType="end"/>
      </w:r>
      <w:r>
        <w:t>. Ten behoeve van de mapping van de relevante toepasselijke factoren en de berekening van de minimumdekkingsvereisten classificeren de instellingen het gedekte deel van NPE’s overeenkomstig artikel 47 quater, lid 3, van Verordening (EU) nr. 575/2013 naargelang het soort kredietprotectie, als volgt: i) “gedekt door onroerend goed of woonkrediet gedekt door een toelaatbare protectiegever als bedoeld in artikel 201”; ii) “gedekt door andere volgestorte of niet-volgestorte kredietprotectie”, of iii) “dat een garantie of tegengarantie heeft van een toelaatbare protectiegever”. Wanneer een niet-renderende blootstelling door meer dan één soort kredietprotectie wordt gedekt, wordt de blootstellingswaarde ervan ingedeeld volgens de kwaliteit van de kredietprotectie, te beginnen bij die met de beste kwaliteit.</w:t>
      </w:r>
    </w:p>
    <w:p w14:paraId="2778C954" w14:textId="1C8C1115" w:rsidR="00C6168C" w:rsidRPr="00C6168C" w:rsidRDefault="00C6168C" w:rsidP="00C6168C">
      <w:pPr>
        <w:pStyle w:val="InstructionsText2"/>
        <w:numPr>
          <w:ilvl w:val="0"/>
          <w:numId w:val="0"/>
        </w:numPr>
        <w:ind w:left="993"/>
        <w:rPr>
          <w:noProof/>
        </w:rPr>
      </w:pPr>
      <w:r>
        <w:t xml:space="preserve">207a.  In lijn met artikel 36, lid 5, van Verordening (EU) nr. 575/2013 rapporteren gespecialiseerde herstructureerders van schulden alle relevante blootstellingen, met inbegrip van door deze instellingen gekochte niet-renderende blootstellingen, in de templates C 35.01 tot en met C 35.03, en stellen zij het toepasselijke bedrag van ontoereikende dekking van het gekochte deel gelijk aan nul in rij 0010 van C 35.01.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Pr>
          <w:rFonts w:ascii="Times New Roman" w:hAnsi="Times New Roman"/>
          <w:sz w:val="24"/>
          <w:u w:val="none"/>
        </w:rPr>
        <w:t>8.2. C 35.01 – BEREKENING VAN AFTREKKINGEN VOOR NIET-RENDERENDE BLOOTSTELLINGEN (NPE LC1)</w:t>
      </w:r>
      <w:bookmarkEnd w:id="2"/>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Pr>
          <w:rFonts w:ascii="Times New Roman" w:hAnsi="Times New Roman"/>
          <w:sz w:val="24"/>
        </w:rPr>
        <w:t>Instructies voor specifieke posities</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735"/>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rPr>
            </w:pPr>
            <w:bookmarkStart w:id="6" w:name="_Toc19715889"/>
            <w:r>
              <w:rPr>
                <w:rFonts w:ascii="Times New Roman" w:hAnsi="Times New Roman"/>
                <w:sz w:val="24"/>
              </w:rPr>
              <w:t>Kolommen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rPr>
            </w:pPr>
            <w:r>
              <w:rPr>
                <w:rFonts w:ascii="Times New Roman" w:hAnsi="Times New Roman"/>
                <w:sz w:val="24"/>
              </w:rPr>
              <w:t>Instructies</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Tijd verstreken sinds de classificatie van de blootstelling als niet-renderend</w:t>
            </w:r>
          </w:p>
          <w:p w14:paraId="1BC0C5B7" w14:textId="77777777" w:rsidR="00E7212E" w:rsidRPr="002A677E" w:rsidRDefault="00E7212E" w:rsidP="00BF7D57">
            <w:pPr>
              <w:rPr>
                <w:rFonts w:ascii="Times New Roman" w:hAnsi="Times New Roman"/>
                <w:sz w:val="24"/>
              </w:rPr>
            </w:pPr>
            <w:r>
              <w:rPr>
                <w:rFonts w:ascii="Times New Roman" w:hAnsi="Times New Roman"/>
                <w:sz w:val="24"/>
              </w:rPr>
              <w:t xml:space="preserve">Onder “tijd verstreken sinds de classificatie van de blootstelling als niet-renderend” wordt verstaan de tijd in jaren die verstreken is, vanaf de referentiedatum, sinds de blootstelling als niet-renderend is geclassificeerd. Voor gekochte niet-renderende blootstellingen begint de termijn in jaren te lopen vanaf de datum waarop de blootstelling oorspronkelijk als niet-renderend werd geclassificeerd – en niet vanaf de datum van aankoop ervan. </w:t>
            </w:r>
          </w:p>
          <w:p w14:paraId="4D6DCF87" w14:textId="77777777" w:rsidR="00E7212E" w:rsidRPr="002A677E" w:rsidRDefault="00E7212E" w:rsidP="00BF7D57">
            <w:pPr>
              <w:rPr>
                <w:rFonts w:ascii="Times New Roman" w:hAnsi="Times New Roman"/>
                <w:sz w:val="24"/>
              </w:rPr>
            </w:pPr>
            <w:r>
              <w:rPr>
                <w:rFonts w:ascii="Times New Roman" w:hAnsi="Times New Roman"/>
                <w:sz w:val="24"/>
              </w:rPr>
              <w:t>De instellingen rapporteren gegevens over blootstellingen waarvoor de referentiedatum in het overeenkomstige tijdsinterval valt, met vermelding van de periode in jaren na de classificatie van de blootstelling als niet-renderend, ongeacht de toepassing van respijtmaatregelen.</w:t>
            </w:r>
          </w:p>
          <w:p w14:paraId="08BF43EA" w14:textId="77777777" w:rsidR="00E7212E" w:rsidRPr="002A677E" w:rsidRDefault="00E7212E" w:rsidP="00BF7D57">
            <w:pPr>
              <w:rPr>
                <w:rFonts w:ascii="Times New Roman" w:hAnsi="Times New Roman"/>
                <w:sz w:val="24"/>
              </w:rPr>
            </w:pPr>
            <w:r>
              <w:rPr>
                <w:rFonts w:ascii="Times New Roman" w:hAnsi="Times New Roman"/>
                <w:sz w:val="24"/>
              </w:rPr>
              <w:t>Voor het tijdsinterval “&gt; X jaar (jaren), ≤ Y jaar (jaren)” rapporteren de instellingen gegevens over blootstellingen waarvoor de referentiedatum overeenkomt met de periode tussen de eerste en de laatste dag van het Yde jaar volgend op de classificatie van deze blootstellingen als niet-renderend.</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Totaal</w:t>
            </w:r>
          </w:p>
          <w:p w14:paraId="785D55A5" w14:textId="77777777" w:rsidR="00E7212E" w:rsidRPr="002A677E" w:rsidRDefault="00E7212E" w:rsidP="00BF7D57">
            <w:pPr>
              <w:rPr>
                <w:rFonts w:ascii="Times New Roman" w:hAnsi="Times New Roman"/>
                <w:sz w:val="24"/>
              </w:rPr>
            </w:pPr>
            <w:r>
              <w:rPr>
                <w:rFonts w:ascii="Times New Roman" w:hAnsi="Times New Roman"/>
                <w:sz w:val="24"/>
              </w:rPr>
              <w:t>De instellingen rapporteren de som van alle kolommen van 0010 tot en met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rPr>
            </w:pPr>
            <w:r>
              <w:rPr>
                <w:rFonts w:ascii="Times New Roman" w:hAnsi="Times New Roman"/>
                <w:sz w:val="24"/>
              </w:rPr>
              <w:t>Rijen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rPr>
            </w:pPr>
            <w:r>
              <w:rPr>
                <w:rFonts w:ascii="Times New Roman" w:hAnsi="Times New Roman"/>
                <w:sz w:val="24"/>
              </w:rPr>
              <w:t>Instructies</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Toepasselijk bedrag aan onvoldoende dekking</w:t>
            </w:r>
          </w:p>
          <w:p w14:paraId="07CA6C51" w14:textId="77777777" w:rsidR="00E7212E" w:rsidRPr="002A677E" w:rsidRDefault="00E7212E" w:rsidP="00BF7D57">
            <w:pPr>
              <w:rPr>
                <w:rFonts w:ascii="Times New Roman" w:hAnsi="Times New Roman"/>
                <w:sz w:val="24"/>
              </w:rPr>
            </w:pPr>
            <w:r>
              <w:rPr>
                <w:rFonts w:ascii="Times New Roman" w:hAnsi="Times New Roman"/>
                <w:sz w:val="24"/>
              </w:rPr>
              <w:t>Artikel 47 quater, lid 1, van Verordening (EU) nr. 575/2013</w:t>
            </w:r>
          </w:p>
          <w:p w14:paraId="7BAA1E96" w14:textId="77777777" w:rsidR="00E7212E" w:rsidRPr="002A677E" w:rsidRDefault="00E7212E" w:rsidP="00BF7D57">
            <w:pPr>
              <w:rPr>
                <w:rFonts w:ascii="Times New Roman" w:hAnsi="Times New Roman"/>
                <w:sz w:val="24"/>
              </w:rPr>
            </w:pPr>
            <w:r>
              <w:rPr>
                <w:rFonts w:ascii="Times New Roman" w:hAnsi="Times New Roman"/>
                <w:sz w:val="24"/>
              </w:rPr>
              <w:t>Voor de berekening van het toepasselijke bedrag aan onvoldoende dekking trekken de instellingen de totale voorzieningen en aanpassingen of aftrekkingen (gemaximeerd) (rij 0080) af van het totale minimumdekkingsvereiste voor niet-renderende blootstellingen (rij 0020).</w:t>
            </w:r>
          </w:p>
          <w:p w14:paraId="4864656A" w14:textId="5DE2BE38" w:rsidR="006124F8" w:rsidRPr="002A677E" w:rsidRDefault="00E7212E" w:rsidP="00BF7D57">
            <w:pPr>
              <w:rPr>
                <w:rFonts w:ascii="Times New Roman" w:hAnsi="Times New Roman"/>
                <w:sz w:val="24"/>
              </w:rPr>
            </w:pPr>
            <w:r>
              <w:rPr>
                <w:rFonts w:ascii="Times New Roman" w:hAnsi="Times New Roman"/>
                <w:sz w:val="24"/>
              </w:rPr>
              <w:t>Het toepasselijke bedrag aan onvoldoende dekking (d.w.z. het tekort in het totale minimumdekkingsvereiste voor niet-renderende blootstellingen) is gelijk aan of groter dan nul.</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Totaal minimumdekkingsvereiste voor niet-renderende blootstellingen</w:t>
            </w:r>
          </w:p>
          <w:p w14:paraId="649C7EAB" w14:textId="77777777" w:rsidR="00E7212E" w:rsidRPr="002A677E" w:rsidRDefault="00E7212E" w:rsidP="00BF7D57">
            <w:pPr>
              <w:rPr>
                <w:rFonts w:ascii="Times New Roman" w:hAnsi="Times New Roman"/>
                <w:sz w:val="24"/>
              </w:rPr>
            </w:pPr>
            <w:r>
              <w:rPr>
                <w:rFonts w:ascii="Times New Roman" w:hAnsi="Times New Roman"/>
                <w:sz w:val="24"/>
              </w:rPr>
              <w:t>Artikel 47 quater, lid 1, punt a), van Verordening (EU) nr. 575/2013</w:t>
            </w:r>
          </w:p>
          <w:p w14:paraId="62B457A3" w14:textId="77777777" w:rsidR="00E7212E" w:rsidRPr="002A677E" w:rsidRDefault="00E7212E" w:rsidP="00BF7D57">
            <w:pPr>
              <w:rPr>
                <w:rFonts w:ascii="Times New Roman" w:hAnsi="Times New Roman"/>
                <w:sz w:val="24"/>
              </w:rPr>
            </w:pPr>
            <w:r>
              <w:rPr>
                <w:rFonts w:ascii="Times New Roman" w:hAnsi="Times New Roman"/>
                <w:sz w:val="24"/>
              </w:rPr>
              <w:t xml:space="preserve">Voor de berekening van het totale minimumdekkingsvereiste voor niet-renderende blootstellingen tellen de instellingen het minimumdekkingsvereiste voor het niet-gedekte deel van NPE’s (rij 0030) en het minimumdekkingsvereiste voor het gedekte deel van NPE’s (rij 0040) bij elkaar op.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Pr>
                <w:rFonts w:ascii="Times New Roman" w:hAnsi="Times New Roman"/>
                <w:b/>
                <w:sz w:val="24"/>
                <w:u w:val="single"/>
              </w:rPr>
              <w:t>Niet-gedekt deel van NPE’s</w:t>
            </w:r>
            <w:r>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Pr>
                <w:rFonts w:ascii="Times New Roman" w:hAnsi="Times New Roman"/>
                <w:sz w:val="24"/>
              </w:rPr>
              <w:t>Artikel 47 quater, lid 1, punt a), i), artikel 47 quater, lid 2, en artikel 47 quater, lid 6, van Verordening (EU) nr. 575/2013</w:t>
            </w:r>
          </w:p>
          <w:p w14:paraId="6AA26A2E" w14:textId="77777777" w:rsidR="00E7212E" w:rsidRPr="002A677E" w:rsidRDefault="00E7212E" w:rsidP="00BF7D57">
            <w:pPr>
              <w:rPr>
                <w:rFonts w:ascii="Times New Roman" w:hAnsi="Times New Roman"/>
                <w:sz w:val="24"/>
              </w:rPr>
            </w:pPr>
            <w:r>
              <w:rPr>
                <w:rFonts w:ascii="Times New Roman" w:hAnsi="Times New Roman"/>
                <w:sz w:val="24"/>
              </w:rPr>
              <w:t xml:space="preserve">De instelling rapporteert het totale minimumdekkingsvereiste voor het niet-gedekte deel van NPE’s, d.w.z. de som van de berekeningen op blootstellingsniveau. </w:t>
            </w:r>
          </w:p>
          <w:p w14:paraId="73D05839" w14:textId="77777777" w:rsidR="00E7212E" w:rsidRPr="002A677E" w:rsidRDefault="00E7212E" w:rsidP="00BF7D57">
            <w:pPr>
              <w:rPr>
                <w:rFonts w:ascii="Times New Roman" w:hAnsi="Times New Roman"/>
                <w:sz w:val="24"/>
              </w:rPr>
            </w:pPr>
            <w:r>
              <w:rPr>
                <w:rFonts w:ascii="Times New Roman" w:hAnsi="Times New Roman"/>
                <w:sz w:val="24"/>
              </w:rPr>
              <w:t xml:space="preserve">Het in elke kolom gerapporteerde bedrag is gelijk aan de som van de bedragen gerapporteerd in rij 0020 van C 35.02 en rij 0020 van C 35.03 (indien van toepassing) in de respectieve kolommen.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Gedekt deel van NPE’s</w:t>
            </w:r>
          </w:p>
          <w:p w14:paraId="12886933" w14:textId="77777777" w:rsidR="00E7212E" w:rsidRPr="002A677E" w:rsidRDefault="00E7212E" w:rsidP="00BF7D57">
            <w:pPr>
              <w:rPr>
                <w:rFonts w:ascii="Times New Roman" w:hAnsi="Times New Roman"/>
                <w:sz w:val="24"/>
              </w:rPr>
            </w:pPr>
            <w:r>
              <w:rPr>
                <w:rFonts w:ascii="Times New Roman" w:hAnsi="Times New Roman"/>
                <w:sz w:val="24"/>
              </w:rPr>
              <w:t>Artikel 47 quater, lid 1, punt a), ii), en artikel 47 quater, leden 3, 4 en 6, van Verordening (EU) nr. 575/2013</w:t>
            </w:r>
          </w:p>
          <w:p w14:paraId="16387A62" w14:textId="77777777" w:rsidR="00E7212E" w:rsidRPr="002A677E" w:rsidRDefault="00E7212E" w:rsidP="00BF7D57">
            <w:pPr>
              <w:rPr>
                <w:rFonts w:ascii="Times New Roman" w:hAnsi="Times New Roman"/>
                <w:sz w:val="24"/>
              </w:rPr>
            </w:pPr>
            <w:r>
              <w:rPr>
                <w:rFonts w:ascii="Times New Roman" w:hAnsi="Times New Roman"/>
                <w:sz w:val="24"/>
              </w:rPr>
              <w:t>De instelling rapporteert het totale minimumdekkingsvereiste voor het niet-gedekte deel van NPE’s, d.w.z. de som van de berekeningen op blootstellingsniveau.</w:t>
            </w:r>
          </w:p>
          <w:p w14:paraId="0FBBC591" w14:textId="5F5FD107" w:rsidR="00E7212E" w:rsidRPr="002A677E" w:rsidRDefault="00E7212E" w:rsidP="00BF7D57">
            <w:pPr>
              <w:rPr>
                <w:rFonts w:ascii="Times New Roman" w:hAnsi="Times New Roman"/>
                <w:b/>
                <w:sz w:val="24"/>
                <w:u w:val="single"/>
              </w:rPr>
            </w:pPr>
            <w:r>
              <w:rPr>
                <w:rFonts w:ascii="Times New Roman" w:hAnsi="Times New Roman"/>
                <w:sz w:val="24"/>
              </w:rPr>
              <w:t>Het in elke kolom gerapporteerde bedrag is gelijk aan de som van de bedragen gerapporteerd in rij 0030-0045 van C 35.02 en rij 0030-0040 van C 35.03 (indien van toepassing) in de respectieve kolommen.</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Blootstellingswaarde</w:t>
            </w:r>
          </w:p>
          <w:p w14:paraId="3D274535" w14:textId="77777777" w:rsidR="00E7212E" w:rsidRPr="002A677E" w:rsidRDefault="00E7212E" w:rsidP="00BF7D57">
            <w:pPr>
              <w:rPr>
                <w:rFonts w:ascii="Times New Roman" w:hAnsi="Times New Roman"/>
                <w:sz w:val="24"/>
              </w:rPr>
            </w:pPr>
            <w:r>
              <w:rPr>
                <w:rFonts w:ascii="Times New Roman" w:hAnsi="Times New Roman"/>
                <w:sz w:val="24"/>
              </w:rPr>
              <w:t>Artikel 47 bis, lid 2, van Verordening (EU) nr. 575/2013</w:t>
            </w:r>
          </w:p>
          <w:p w14:paraId="2696C7F0" w14:textId="77777777" w:rsidR="00E7212E" w:rsidRPr="002A677E" w:rsidRDefault="00E7212E" w:rsidP="00BF7D57">
            <w:pPr>
              <w:rPr>
                <w:rFonts w:ascii="Times New Roman" w:hAnsi="Times New Roman"/>
                <w:sz w:val="24"/>
              </w:rPr>
            </w:pPr>
            <w:r>
              <w:rPr>
                <w:rFonts w:ascii="Times New Roman" w:hAnsi="Times New Roman"/>
                <w:sz w:val="24"/>
              </w:rPr>
              <w:t xml:space="preserve">De instellingen rapporteren de totale blootstellingswaarde van NPE’s, met inbegrip van zowel de niet-gedekte als de gedekte blootstellingen. Dit stemt overeen met de som van rij 0060 en rij 0070.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Pr>
                <w:rFonts w:ascii="Times New Roman" w:hAnsi="Times New Roman"/>
                <w:b/>
                <w:sz w:val="24"/>
                <w:u w:val="single"/>
              </w:rPr>
              <w:t>Niet-gedekt deel van NPE’s</w:t>
            </w:r>
            <w:r>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Pr>
                <w:rFonts w:ascii="Times New Roman" w:hAnsi="Times New Roman"/>
                <w:sz w:val="24"/>
              </w:rPr>
              <w:t>Artikel 47 bis, lid 2, en artikel 47 quater, lid 1, van Verordening (EU) nr. 575/2013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Gedekt deel van NPE’s</w:t>
            </w:r>
          </w:p>
          <w:p w14:paraId="457D8F3B" w14:textId="77777777" w:rsidR="00E7212E" w:rsidRPr="002A677E" w:rsidRDefault="00E7212E" w:rsidP="00BF7D57">
            <w:pPr>
              <w:rPr>
                <w:rFonts w:ascii="Times New Roman" w:hAnsi="Times New Roman"/>
                <w:b/>
                <w:sz w:val="24"/>
                <w:u w:val="single"/>
              </w:rPr>
            </w:pPr>
            <w:r>
              <w:rPr>
                <w:rFonts w:ascii="Times New Roman" w:hAnsi="Times New Roman"/>
                <w:sz w:val="24"/>
              </w:rPr>
              <w:t>Artikel 47 bis, lid 2, en artikel 47 quater, lid 1, van Verordening (EU) nr. 575/2013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Totaal voorzieningen en aanpassingen of aftrekkingen (gemaximeerd)</w:t>
            </w:r>
          </w:p>
          <w:p w14:paraId="1063BD06" w14:textId="77777777" w:rsidR="00E7212E" w:rsidRPr="002A677E" w:rsidRDefault="00E7212E" w:rsidP="00BF7D57">
            <w:pPr>
              <w:rPr>
                <w:rFonts w:ascii="Times New Roman" w:hAnsi="Times New Roman"/>
                <w:sz w:val="24"/>
              </w:rPr>
            </w:pPr>
            <w:r>
              <w:rPr>
                <w:rFonts w:ascii="Times New Roman" w:hAnsi="Times New Roman"/>
                <w:sz w:val="24"/>
              </w:rPr>
              <w:t>De instellingen rapporteren het gemaximeerde bedrag van de som van de in de rijen 0100-0150 vermelde posten overeenkomstig artikel 47 quater, lid 1, punt b), van Verordening (EU) nr. 575/2013. De bovengrens voor gemaximeerde voorzieningen en aanpassingen of aftrekkingen is het bedrag van het minimumdekkingsvereiste op blootstellingsniveau.</w:t>
            </w:r>
          </w:p>
          <w:p w14:paraId="5D5758AF" w14:textId="77777777" w:rsidR="00E7212E" w:rsidRPr="002A677E" w:rsidRDefault="00E7212E" w:rsidP="00BF7D57">
            <w:pPr>
              <w:rPr>
                <w:rFonts w:ascii="Times New Roman" w:hAnsi="Times New Roman"/>
                <w:sz w:val="24"/>
              </w:rPr>
            </w:pPr>
            <w:r>
              <w:rPr>
                <w:rFonts w:ascii="Times New Roman" w:hAnsi="Times New Roman"/>
                <w:sz w:val="24"/>
              </w:rPr>
              <w:t>Het gemaximeerde bedrag wordt voor elke blootstelling afzonderlijk berekend als het laagste bedrag tussen het minimumdekkingsvereiste voor deze blootstelling en de totale voorzieningen en aanpassingen of aftrekkingen voor dezelfde blootstelling.</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Totaal voorzieningen en aanpassingen of aftrekkingen (niet-gemaximeerd)</w:t>
            </w:r>
          </w:p>
          <w:p w14:paraId="761D8835" w14:textId="77777777" w:rsidR="00E7212E" w:rsidRPr="002A677E" w:rsidRDefault="00E7212E" w:rsidP="00BF7D57">
            <w:pPr>
              <w:jc w:val="left"/>
              <w:rPr>
                <w:rFonts w:ascii="Times New Roman" w:hAnsi="Times New Roman"/>
                <w:sz w:val="24"/>
              </w:rPr>
            </w:pPr>
            <w:r>
              <w:rPr>
                <w:rFonts w:ascii="Times New Roman" w:hAnsi="Times New Roman"/>
                <w:sz w:val="24"/>
              </w:rPr>
              <w:t xml:space="preserve">De instellingen rapporteren de som van het niet-gemaximeerde bedrag van de in de rijen 0100-0150 vermelde posten overeenkomstig artikel 47 quater, lid 1, punt b), van Verordening (EU) nr. 575/2013. Voorzieningen en aanpassingen of aftrekkingen (niet-gemaximeerd) zijn niet beperkt tot het bedrag van het minimumdekkingsvereiste op blootstellingsniveau.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Specifieke kredietrisicoaanpassingen</w:t>
            </w:r>
          </w:p>
          <w:p w14:paraId="7E86A5D7" w14:textId="77777777" w:rsidR="00E7212E" w:rsidRPr="002A677E" w:rsidRDefault="00E7212E" w:rsidP="00BF7D57">
            <w:pPr>
              <w:jc w:val="left"/>
              <w:rPr>
                <w:rFonts w:ascii="Times New Roman" w:hAnsi="Times New Roman"/>
                <w:sz w:val="24"/>
              </w:rPr>
            </w:pPr>
            <w:r>
              <w:rPr>
                <w:rFonts w:ascii="Times New Roman" w:hAnsi="Times New Roman"/>
                <w:sz w:val="24"/>
              </w:rPr>
              <w:t>Artikel 47 quater, lid 1, punt b), i), van Verordening (EU) nr. 575/2013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Aanvullende waardeaanpassingen</w:t>
            </w:r>
          </w:p>
          <w:p w14:paraId="2B50ADEC"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Artikel 47 quater, lid 1, punt b), ii), van Verordening (EU) nr. 575/2013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Andere eigenvermogensverlagingen</w:t>
            </w:r>
          </w:p>
          <w:p w14:paraId="0DCF7C5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Artikel 47 quater, lid 1, punt b), iii), van Verordening (EU) nr. 575/2013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IRB-tekort</w:t>
            </w:r>
          </w:p>
          <w:p w14:paraId="40095D1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Artikel 47 quater, lid 1, punt b), iv), van Verordening (EU) nr. 575/2013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Verschil tussen de aankoopprijs en het door de debiteur verschuldigde bedrag</w:t>
            </w:r>
          </w:p>
          <w:p w14:paraId="27E5AAB5"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Artikel 47 quater, lid 1, punt b), v), van Verordening (EU) nr. 575/2013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Door de instelling afgeschreven bedragen sinds de blootstelling als niet-renderend werd geclassificeerd</w:t>
            </w:r>
          </w:p>
          <w:p w14:paraId="0A7CF4D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Artikel 47 quater, lid 1, punt b), vi), van Verordening (EU) nr. 575/2013</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Pr>
          <w:rFonts w:ascii="Times New Roman" w:hAnsi="Times New Roman"/>
          <w:sz w:val="24"/>
        </w:rPr>
        <w:t>C 35.02 – MINIMUMDEKKINGSVEREISTEN EN BLOOTSTELLINGSWAARDEN VAN NIET-RENDERENDE BLOOTSTELLINGEN MET UITSLUITING VAN RESPIJTBLOOTSTELLINGEN DIE ONDER ARTIKEL 47 QUATER, LID 6, VAN VERORDENING (EU) NR. 575/2013 VALLEN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Pr>
          <w:rFonts w:ascii="Times New Roman" w:hAnsi="Times New Roman"/>
          <w:sz w:val="24"/>
        </w:rPr>
        <w:t>Instructies voor specifieke posities</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735"/>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rPr>
            </w:pPr>
            <w:r>
              <w:rPr>
                <w:rFonts w:ascii="Times New Roman" w:hAnsi="Times New Roman"/>
                <w:sz w:val="24"/>
              </w:rPr>
              <w:t>Kolommen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rPr>
            </w:pPr>
            <w:r>
              <w:rPr>
                <w:rFonts w:ascii="Times New Roman" w:hAnsi="Times New Roman"/>
                <w:sz w:val="24"/>
              </w:rPr>
              <w:t>Instructies</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Tijd verstreken sinds de classificatie van de blootstelling als niet-renderend</w:t>
            </w:r>
          </w:p>
          <w:p w14:paraId="27559F86" w14:textId="77777777" w:rsidR="00E7212E" w:rsidRPr="002A677E" w:rsidRDefault="00E7212E" w:rsidP="00BF7D57">
            <w:pPr>
              <w:rPr>
                <w:rFonts w:ascii="Times New Roman" w:hAnsi="Times New Roman"/>
                <w:sz w:val="24"/>
              </w:rPr>
            </w:pPr>
            <w:r>
              <w:rPr>
                <w:rFonts w:ascii="Times New Roman" w:hAnsi="Times New Roman"/>
                <w:sz w:val="24"/>
              </w:rPr>
              <w:t>Onder “tijd verstreken sinds de classificatie van de blootstelling als niet-renderend” wordt verstaan de tijd in jaren die verstreken is sinds de classificatie van de blootstelling als niet-renderend. De instellingen rapporteren gegevens over blootstellingen waarvoor de referentiedatum in het overeenkomstige tijdsinterval valt, met vermelding van de periode in jaren na de classificatie van de blootstelling als niet-renderend, ongeacht de toepassing van respijtmaatregelen.</w:t>
            </w:r>
          </w:p>
          <w:p w14:paraId="1AD59E7D" w14:textId="77777777" w:rsidR="00E7212E" w:rsidRPr="002A677E" w:rsidRDefault="00E7212E" w:rsidP="00BF7D57">
            <w:pPr>
              <w:rPr>
                <w:rFonts w:ascii="Times New Roman" w:hAnsi="Times New Roman"/>
                <w:sz w:val="24"/>
              </w:rPr>
            </w:pPr>
            <w:r>
              <w:rPr>
                <w:rFonts w:ascii="Times New Roman" w:hAnsi="Times New Roman"/>
                <w:sz w:val="24"/>
              </w:rPr>
              <w:t>Voor het tijdsinterval “&gt; X jaar (jaren), ≤ Y jaar (jaren)” rapporteren de instellingen gegevens over blootstellingen waarvoor de referentiedatum overeenkomt met de periode tussen de eerste en de laatste dag van het Yde jaar volgend op de classificatie van deze blootstellingen als niet-renderend.</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Totaal</w:t>
            </w:r>
          </w:p>
          <w:p w14:paraId="5AC10F8E" w14:textId="77777777" w:rsidR="00E7212E" w:rsidRPr="002A677E" w:rsidRDefault="00E7212E" w:rsidP="00BF7D57">
            <w:pPr>
              <w:rPr>
                <w:rFonts w:ascii="Times New Roman" w:hAnsi="Times New Roman"/>
                <w:sz w:val="24"/>
                <w:u w:val="single"/>
              </w:rPr>
            </w:pPr>
            <w:r>
              <w:rPr>
                <w:rFonts w:ascii="Times New Roman" w:hAnsi="Times New Roman"/>
                <w:sz w:val="24"/>
              </w:rPr>
              <w:t>De instellingen rapporteren de som van alle kolommen van 0010 tot en met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rPr>
            </w:pPr>
            <w:r>
              <w:rPr>
                <w:rFonts w:ascii="Times New Roman" w:hAnsi="Times New Roman"/>
                <w:sz w:val="24"/>
              </w:rPr>
              <w:t>Rijen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rPr>
            </w:pPr>
            <w:r>
              <w:rPr>
                <w:rFonts w:ascii="Times New Roman" w:hAnsi="Times New Roman"/>
                <w:sz w:val="24"/>
              </w:rPr>
              <w:t>Instructies</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Totaal minimumdekkingsvereiste</w:t>
            </w:r>
          </w:p>
          <w:p w14:paraId="182F35CE" w14:textId="77777777" w:rsidR="00E7212E" w:rsidRPr="002A677E" w:rsidRDefault="00E7212E" w:rsidP="00BF7D57">
            <w:pPr>
              <w:rPr>
                <w:rFonts w:ascii="Times New Roman" w:hAnsi="Times New Roman"/>
                <w:sz w:val="24"/>
              </w:rPr>
            </w:pPr>
            <w:r>
              <w:rPr>
                <w:rFonts w:ascii="Times New Roman" w:hAnsi="Times New Roman"/>
                <w:sz w:val="24"/>
              </w:rPr>
              <w:t>Artikel 47 quater, lid 1, punt a), van Verordening (EU) nr. 575/2013</w:t>
            </w:r>
          </w:p>
          <w:p w14:paraId="662FCE5D" w14:textId="79E2CFC8" w:rsidR="00E7212E" w:rsidRPr="002A677E" w:rsidRDefault="00E7212E" w:rsidP="00BF7D57">
            <w:pPr>
              <w:rPr>
                <w:rFonts w:ascii="Times New Roman" w:hAnsi="Times New Roman"/>
                <w:sz w:val="24"/>
              </w:rPr>
            </w:pPr>
            <w:r>
              <w:rPr>
                <w:rFonts w:ascii="Times New Roman" w:hAnsi="Times New Roman"/>
                <w:sz w:val="24"/>
              </w:rPr>
              <w:t>Voor de berekening van het totale minimumdekkingsvereiste voor niet-renderende blootstellingen, met uitsluiting van respijtblootstellingen die onder artikel 47 quater, lid 6, van Verordening (EU) nr. 575/2013 vallen, tellen de instellingen het minimumdekkingsvereiste voor het niet-gedekte deel van NPE’s (rij 0020) en het minimumdekkingsvereiste voor het gedekte deel van NPE’s (rijen 0030-0045) bij elkaar op.</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Niet-gedekt deel van NPE’s</w:t>
            </w:r>
          </w:p>
          <w:p w14:paraId="27ED7CA9" w14:textId="77777777" w:rsidR="00E7212E" w:rsidRPr="002A677E" w:rsidRDefault="00E7212E" w:rsidP="00BF7D57">
            <w:pPr>
              <w:rPr>
                <w:rFonts w:ascii="Times New Roman" w:hAnsi="Times New Roman"/>
                <w:sz w:val="24"/>
              </w:rPr>
            </w:pPr>
            <w:r>
              <w:rPr>
                <w:rFonts w:ascii="Times New Roman" w:hAnsi="Times New Roman"/>
                <w:sz w:val="24"/>
              </w:rPr>
              <w:t>Artikel 47 quater, lid 1, punt a), i), en artikel 47 quater, lid 2, van Verordening (EU) nr. 575/2013</w:t>
            </w:r>
          </w:p>
          <w:p w14:paraId="5CD4163E" w14:textId="77777777" w:rsidR="00E7212E" w:rsidRPr="002A677E" w:rsidRDefault="00E7212E" w:rsidP="00BF7D57">
            <w:pPr>
              <w:rPr>
                <w:rFonts w:ascii="Times New Roman" w:hAnsi="Times New Roman"/>
                <w:sz w:val="24"/>
              </w:rPr>
            </w:pPr>
            <w:r>
              <w:rPr>
                <w:rFonts w:ascii="Times New Roman" w:hAnsi="Times New Roman"/>
                <w:sz w:val="24"/>
              </w:rPr>
              <w:t>Het minimumdekkingsvereiste wordt berekend door de geaggregeerde blootstellingswaarden in rij 0070 te vermenigvuldigen met de overeenkomstige factor per kolom.</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Deel van NPE’s gedekt door onroerend goed of dat woonkrediet is dat gedekt wordt door een toelaatbare protectiegever </w:t>
            </w:r>
          </w:p>
          <w:p w14:paraId="1AB54B5D" w14:textId="77777777" w:rsidR="00E7212E" w:rsidRPr="002A677E" w:rsidRDefault="00E7212E" w:rsidP="00BF7D57">
            <w:pPr>
              <w:rPr>
                <w:rFonts w:ascii="Times New Roman" w:hAnsi="Times New Roman"/>
                <w:sz w:val="24"/>
              </w:rPr>
            </w:pPr>
            <w:r>
              <w:rPr>
                <w:rFonts w:ascii="Times New Roman" w:hAnsi="Times New Roman"/>
                <w:sz w:val="24"/>
              </w:rPr>
              <w:t>Artikel 47 quater, lid 1, punt a), ii), en artikel 47 quater, lid 3, punten a), b), c), d), f), h) en i), van Verordening (EU) nr. 575/2013</w:t>
            </w:r>
          </w:p>
          <w:p w14:paraId="3818F43F" w14:textId="77777777" w:rsidR="00E7212E" w:rsidRPr="002A677E" w:rsidRDefault="00E7212E" w:rsidP="00BF7D57">
            <w:pPr>
              <w:rPr>
                <w:rFonts w:ascii="Times New Roman" w:hAnsi="Times New Roman"/>
                <w:b/>
                <w:sz w:val="24"/>
                <w:u w:val="single"/>
              </w:rPr>
            </w:pPr>
            <w:r>
              <w:rPr>
                <w:rFonts w:ascii="Times New Roman" w:hAnsi="Times New Roman"/>
                <w:sz w:val="24"/>
              </w:rPr>
              <w:t>Het minimumdekkingsvereiste wordt berekend door de geaggregeerde blootstellingswaarden in rij 0080 te vermenigvuldigen met de overeenkomstige factor per kolom.</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Deel van NPE’s gedekt door andere volgestorte of niet-volgestorte kredietprotectie</w:t>
            </w:r>
          </w:p>
          <w:p w14:paraId="5857E4F4" w14:textId="77777777" w:rsidR="00E7212E" w:rsidRPr="002A677E" w:rsidRDefault="00E7212E" w:rsidP="00BF7D57">
            <w:pPr>
              <w:rPr>
                <w:rFonts w:ascii="Times New Roman" w:hAnsi="Times New Roman"/>
                <w:sz w:val="24"/>
              </w:rPr>
            </w:pPr>
            <w:r>
              <w:rPr>
                <w:rFonts w:ascii="Times New Roman" w:hAnsi="Times New Roman"/>
                <w:sz w:val="24"/>
              </w:rPr>
              <w:t>Artikel 47 quater, lid 1, punt a), ii), en artikel 47 quater, lid 3, punten a), b), c), e) en g), van Verordening (EU) nr. 575/2013</w:t>
            </w:r>
          </w:p>
          <w:p w14:paraId="3EF75A94" w14:textId="77777777" w:rsidR="00E7212E" w:rsidRPr="002A677E" w:rsidRDefault="00E7212E" w:rsidP="00BF7D57">
            <w:pPr>
              <w:rPr>
                <w:rFonts w:ascii="Times New Roman" w:hAnsi="Times New Roman"/>
                <w:b/>
                <w:sz w:val="24"/>
                <w:u w:val="single"/>
              </w:rPr>
            </w:pPr>
            <w:r>
              <w:rPr>
                <w:rFonts w:ascii="Times New Roman" w:hAnsi="Times New Roman"/>
                <w:sz w:val="24"/>
              </w:rPr>
              <w:t>Het minimumdekkingsvereiste wordt berekend door de geaggregeerde blootstellingswaarden in rij 0090 te vermenigvuldigen met de overeenkomstige factor per kolom.</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rPr>
            </w:pPr>
            <w:r>
              <w:rPr>
                <w:rFonts w:ascii="Times New Roman" w:hAnsi="Times New Roman"/>
                <w:b/>
                <w:sz w:val="24"/>
                <w:u w:val="single"/>
              </w:rPr>
              <w:t>Deel van NPE’s dat een garantie of tegengarantie heeft van een toelaatbare protectiegever</w:t>
            </w:r>
          </w:p>
          <w:p w14:paraId="4C97CF34" w14:textId="77777777" w:rsidR="00920721" w:rsidRDefault="00EB1058" w:rsidP="00BF7D57">
            <w:pPr>
              <w:jc w:val="left"/>
              <w:rPr>
                <w:rFonts w:ascii="Times New Roman" w:hAnsi="Times New Roman"/>
                <w:sz w:val="24"/>
              </w:rPr>
            </w:pPr>
            <w:r>
              <w:rPr>
                <w:rFonts w:ascii="Times New Roman" w:hAnsi="Times New Roman"/>
                <w:sz w:val="24"/>
              </w:rPr>
              <w:t>Artikel 47 quater, lid 4, punt b), van Verordening (EU) nr. 575/2013.</w:t>
            </w:r>
          </w:p>
          <w:p w14:paraId="450588A8" w14:textId="2E5C57D7" w:rsidR="009A1028" w:rsidRPr="009A1028" w:rsidRDefault="009A1028" w:rsidP="00BF7D57">
            <w:pPr>
              <w:jc w:val="left"/>
              <w:rPr>
                <w:rFonts w:ascii="Times New Roman" w:hAnsi="Times New Roman"/>
                <w:sz w:val="24"/>
              </w:rPr>
            </w:pPr>
            <w:r>
              <w:rPr>
                <w:rStyle w:val="cf01"/>
                <w:rFonts w:ascii="Times New Roman" w:hAnsi="Times New Roman"/>
                <w:sz w:val="24"/>
              </w:rPr>
              <w:t>Het minimumdekkingsvereiste wordt berekend door de geaggregeerde blootstellingswaarden in rijen 0110 en 0120 te vermenigvuldigen met de overeenkomstige factoren per kolom.</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Blootstellingswaarde</w:t>
            </w:r>
          </w:p>
          <w:p w14:paraId="2F7544E3" w14:textId="77777777" w:rsidR="00E7212E" w:rsidRPr="002A677E" w:rsidRDefault="00E7212E" w:rsidP="00BF7D57">
            <w:pPr>
              <w:jc w:val="left"/>
              <w:rPr>
                <w:rFonts w:ascii="Times New Roman" w:hAnsi="Times New Roman"/>
                <w:sz w:val="24"/>
              </w:rPr>
            </w:pPr>
            <w:r>
              <w:rPr>
                <w:rFonts w:ascii="Times New Roman" w:hAnsi="Times New Roman"/>
                <w:sz w:val="24"/>
              </w:rPr>
              <w:t>Artikel 47 bis, lid 2, van Verordening (EU) nr. 575/2013</w:t>
            </w:r>
          </w:p>
          <w:p w14:paraId="40E077A1" w14:textId="04FB6552" w:rsidR="00E7212E" w:rsidRPr="002A677E" w:rsidRDefault="00E7212E" w:rsidP="00BF7D57">
            <w:pPr>
              <w:jc w:val="left"/>
              <w:rPr>
                <w:rFonts w:ascii="Times New Roman" w:hAnsi="Times New Roman"/>
                <w:b/>
                <w:sz w:val="24"/>
                <w:u w:val="single"/>
              </w:rPr>
            </w:pPr>
            <w:r>
              <w:rPr>
                <w:rFonts w:ascii="Times New Roman" w:hAnsi="Times New Roman"/>
                <w:sz w:val="24"/>
              </w:rPr>
              <w:t>Voor de berekening van rij 0060 tellen de instellingen de gerapporteerde blootstellingswaarden voor het niet-gedekte deel van NPE’s (rij 0070), het deel van NPE’s dat gedekt wordt door onroerend goed of dat woonkrediet is dat gedekt wordt door een toelaatbare protectiegever (rij 0080), het deel van NPE’s dat gedekt wordt door andere volgestorte of niet-volgestorte kredietprotectie (rij 0090) en het deel van NPE’s dat een garantie of tegengarantie heeft van een toelaatbare protectiegever (rijen 0110 en 0120), bij elkaar op.</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Niet-gedekt deel van NPE’s</w:t>
            </w:r>
          </w:p>
          <w:p w14:paraId="7BA082E2" w14:textId="77777777" w:rsidR="00E7212E" w:rsidRPr="002A677E" w:rsidRDefault="00E7212E" w:rsidP="00BF7D57">
            <w:pPr>
              <w:jc w:val="left"/>
              <w:rPr>
                <w:rFonts w:ascii="Times New Roman" w:hAnsi="Times New Roman"/>
                <w:sz w:val="24"/>
              </w:rPr>
            </w:pPr>
            <w:r>
              <w:rPr>
                <w:rFonts w:ascii="Times New Roman" w:hAnsi="Times New Roman"/>
                <w:sz w:val="24"/>
              </w:rPr>
              <w:t>Artikel 47 bis, lid 2, en artikel 47 quater, leden 1 en 2, van Verordening (EU) nr. 575/2013</w:t>
            </w:r>
          </w:p>
          <w:p w14:paraId="57CA0E6A" w14:textId="77777777" w:rsidR="00E7212E" w:rsidRPr="002A677E" w:rsidRDefault="00E7212E" w:rsidP="00BF7D57">
            <w:pPr>
              <w:jc w:val="left"/>
              <w:rPr>
                <w:rFonts w:ascii="Times New Roman" w:hAnsi="Times New Roman"/>
                <w:sz w:val="24"/>
              </w:rPr>
            </w:pPr>
            <w:r>
              <w:rPr>
                <w:rFonts w:ascii="Times New Roman" w:hAnsi="Times New Roman"/>
                <w:sz w:val="24"/>
              </w:rPr>
              <w:t>De instellingen rapporteren de totale blootstellingswaarde van het niet-gedekte deel van NPE’s, uitgesplitst naar de tijd die verstreken is sinds de classificatie van de blootstelling als niet-renderend.</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Deel van NPE’s gedekt door onroerend goed of dat woonkrediet is dat gedekt wordt door een toelaatbare protectiegever</w:t>
            </w:r>
          </w:p>
          <w:p w14:paraId="353C8B9D" w14:textId="77777777" w:rsidR="00E7212E" w:rsidRPr="002A677E" w:rsidRDefault="00E7212E" w:rsidP="00BF7D57">
            <w:pPr>
              <w:rPr>
                <w:rFonts w:ascii="Times New Roman" w:hAnsi="Times New Roman"/>
                <w:sz w:val="24"/>
              </w:rPr>
            </w:pPr>
            <w:r>
              <w:rPr>
                <w:rFonts w:ascii="Times New Roman" w:hAnsi="Times New Roman"/>
                <w:sz w:val="24"/>
              </w:rPr>
              <w:t>Artikel 47 bis, lid 2, artikel 47 quater, lid 1, en artikel 47 quater, lid 3, punten a), b), c), d), f), h) en i), van Verordening (EU) nr. 575/2013</w:t>
            </w:r>
          </w:p>
          <w:p w14:paraId="6EC4E8B7" w14:textId="77777777" w:rsidR="00E7212E" w:rsidRPr="002A677E" w:rsidRDefault="00E7212E" w:rsidP="00BF7D57">
            <w:pPr>
              <w:rPr>
                <w:rFonts w:ascii="Times New Roman" w:hAnsi="Times New Roman"/>
                <w:b/>
                <w:sz w:val="24"/>
                <w:u w:val="single"/>
              </w:rPr>
            </w:pPr>
            <w:r>
              <w:rPr>
                <w:rFonts w:ascii="Times New Roman" w:hAnsi="Times New Roman"/>
                <w:sz w:val="24"/>
              </w:rPr>
              <w:t>De instellingen rapporteren de totale blootstellingswaarde van de delen van NPE’s die door onroerend goed overeenkomstig deel drie, titel II, van Verordening (EU) nr. 575/2013 worden gedekt of die woonkredieten zijn die gedekt worden door een toelaatbare protectiegever als bedoeld in artikel 201 van die verordening.</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Deel van NPE’s gedekt door andere volgestorte of niet-volgestorte kredietprotectie</w:t>
            </w:r>
          </w:p>
          <w:p w14:paraId="3F457A1D"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Artikel 47 bis, lid 2, artikel 47 quater, lid 1, en artikel 47 quater, lid 3, punten a), b), c), e) en g), van Verordening (EU) nr. 575/2013 </w:t>
            </w:r>
          </w:p>
          <w:p w14:paraId="676A8E56" w14:textId="77777777" w:rsidR="00E7212E" w:rsidRPr="002A677E" w:rsidRDefault="00E7212E" w:rsidP="00BF7D57">
            <w:pPr>
              <w:jc w:val="left"/>
              <w:rPr>
                <w:rFonts w:ascii="Times New Roman" w:hAnsi="Times New Roman"/>
                <w:sz w:val="24"/>
              </w:rPr>
            </w:pPr>
            <w:r>
              <w:rPr>
                <w:rFonts w:ascii="Times New Roman" w:hAnsi="Times New Roman"/>
                <w:sz w:val="24"/>
              </w:rPr>
              <w:t>De instellingen rapporteren de totale blootstellingswaarde van de delen van NPE’s die gedekt zijn door andere volgestorte of niet-volgestorte kredietprotectie overeenkomstig deel drie, titel II, van Verordening (EU) nr. 575/2013.</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rPr>
            </w:pPr>
            <w:r>
              <w:rPr>
                <w:rFonts w:ascii="Times New Roman" w:hAnsi="Times New Roman"/>
                <w:b/>
                <w:sz w:val="24"/>
                <w:u w:val="single"/>
              </w:rPr>
              <w:t>Deel van NPE’s dat een garantie of tegengarantie heeft van een toelaatbare protectiegever (factor 1)</w:t>
            </w:r>
          </w:p>
          <w:p w14:paraId="4D27415B" w14:textId="7FB89EC4" w:rsidR="00DE7A8B" w:rsidRPr="00DE7A8B" w:rsidRDefault="00DE7A8B" w:rsidP="00BF7D57">
            <w:pPr>
              <w:jc w:val="left"/>
              <w:rPr>
                <w:rFonts w:ascii="Times New Roman" w:hAnsi="Times New Roman"/>
                <w:bCs/>
                <w:sz w:val="24"/>
              </w:rPr>
            </w:pPr>
            <w:r>
              <w:rPr>
                <w:rFonts w:ascii="Times New Roman" w:hAnsi="Times New Roman"/>
                <w:sz w:val="24"/>
              </w:rPr>
              <w:t>Artikel 47 quater, lid 4, punt b), van Verordening (EU) nr. 575/2013 (factor 1)</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rPr>
            </w:pPr>
            <w:r>
              <w:rPr>
                <w:rFonts w:ascii="Times New Roman" w:hAnsi="Times New Roman"/>
                <w:b/>
                <w:sz w:val="24"/>
                <w:u w:val="single"/>
              </w:rPr>
              <w:t>Deel van NPE’s dat een garantie of tegengarantie heeft van een toelaatbare protectiegever (factor 0)</w:t>
            </w:r>
          </w:p>
          <w:p w14:paraId="1F86CE64" w14:textId="53FD9558" w:rsidR="00A13F70" w:rsidRPr="00AD1E4E" w:rsidRDefault="00DE7A8B" w:rsidP="00BF7D57">
            <w:pPr>
              <w:jc w:val="left"/>
              <w:rPr>
                <w:rFonts w:ascii="Times New Roman" w:hAnsi="Times New Roman"/>
                <w:sz w:val="24"/>
              </w:rPr>
            </w:pPr>
            <w:r>
              <w:rPr>
                <w:rFonts w:ascii="Times New Roman" w:hAnsi="Times New Roman"/>
                <w:sz w:val="24"/>
              </w:rPr>
              <w:t>Artikel 47 quater, lid 4, punten a) en b), van Verordening (EU) nr. 575/2013 (factor 0) Blootstellingen waarvoor een toelaatbare protectiegever ermee in heeft gestemd alle betalingsverplichtingen van de debiteur jegens de kredietinstelling volledig en in overeenstemming met het oorspronkelijke contractuele betalingsschema na te komen, moeten in rij 0120 worden gerapporteerd (voor alle tijdsintervallen)</w:t>
            </w:r>
          </w:p>
        </w:tc>
      </w:tr>
    </w:tbl>
    <w:p w14:paraId="50ED2ECA" w14:textId="77777777" w:rsidR="00E7212E" w:rsidRDefault="00E7212E" w:rsidP="00E7212E">
      <w:pPr>
        <w:spacing w:before="0" w:after="160" w:line="259" w:lineRule="auto"/>
        <w:jc w:val="left"/>
        <w:rPr>
          <w:rFonts w:ascii="Times New Roman" w:hAnsi="Times New Roman"/>
          <w:sz w:val="24"/>
        </w:rPr>
      </w:pPr>
    </w:p>
    <w:p w14:paraId="2B985F26" w14:textId="77777777" w:rsidR="0036111F" w:rsidRPr="002A677E" w:rsidRDefault="0036111F"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Pr>
          <w:rFonts w:ascii="Times New Roman" w:hAnsi="Times New Roman"/>
          <w:sz w:val="24"/>
        </w:rPr>
        <w:t>C 35.03 – MINIMUMDEKKINGSVEREISTEN EN BLOOTSTELLINGSWAARDEN VAN NIET-RENDERENDE RESPIJTBLOOTSTELLINGEN DIE ONDER ARTIKEL 47 QUATER, LID 6, VAN VERORDENING (EU) NR. 575/2013 VALLEN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Pr>
          <w:rFonts w:ascii="Times New Roman" w:hAnsi="Times New Roman"/>
          <w:sz w:val="24"/>
        </w:rPr>
        <w:t>Instructies voor specifieke posities</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735"/>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rPr>
            </w:pPr>
            <w:r>
              <w:rPr>
                <w:rFonts w:ascii="Times New Roman" w:hAnsi="Times New Roman"/>
                <w:sz w:val="24"/>
              </w:rPr>
              <w:t>Kolommen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rPr>
            </w:pPr>
            <w:r>
              <w:rPr>
                <w:rFonts w:ascii="Times New Roman" w:hAnsi="Times New Roman"/>
                <w:sz w:val="24"/>
              </w:rPr>
              <w:t>Instructies</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Tijd verstreken sinds de classificatie van de blootstelling als niet-renderend</w:t>
            </w:r>
          </w:p>
          <w:p w14:paraId="6028F7B7" w14:textId="77777777" w:rsidR="00E7212E" w:rsidRPr="002A677E" w:rsidRDefault="00E7212E" w:rsidP="00BF7D57">
            <w:pPr>
              <w:rPr>
                <w:rFonts w:ascii="Times New Roman" w:hAnsi="Times New Roman"/>
                <w:sz w:val="24"/>
              </w:rPr>
            </w:pPr>
            <w:r>
              <w:rPr>
                <w:rFonts w:ascii="Times New Roman" w:hAnsi="Times New Roman"/>
                <w:sz w:val="24"/>
              </w:rPr>
              <w:t>Onder “tijd verstreken sinds de classificatie van de blootstelling als niet-renderend” wordt verstaan de tijd in jaren die verstreken is sinds de classificatie van de blootstelling als niet-renderend. De instellingen rapporteren gegevens over blootstellingen waarvoor de referentiedatum in het overeenkomstige tijdsinterval valt, met vermelding van de periode in jaren na de classificatie van de blootstelling als niet-renderend, ongeacht de toepassing van respijtmaatregelen.</w:t>
            </w:r>
          </w:p>
          <w:p w14:paraId="1EB41D92" w14:textId="77777777" w:rsidR="00E7212E" w:rsidRPr="002A677E" w:rsidRDefault="00E7212E" w:rsidP="00BF7D57">
            <w:pPr>
              <w:rPr>
                <w:rFonts w:ascii="Times New Roman" w:hAnsi="Times New Roman"/>
                <w:sz w:val="24"/>
              </w:rPr>
            </w:pPr>
            <w:r>
              <w:rPr>
                <w:rFonts w:ascii="Times New Roman" w:hAnsi="Times New Roman"/>
                <w:sz w:val="24"/>
              </w:rPr>
              <w:t>Voor het tijdsinterval “&gt; X jaar (jaren), ≤ Y jaar (jaren)” rapporteren de instellingen gegevens over blootstellingen waarvoor de referentiedatum overeenkomt met de periode tussen de eerste en de laatste dag van het Yde jaar volgend op de classificatie van deze blootstellingen als niet-renderend.</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Totaal</w:t>
            </w:r>
          </w:p>
          <w:p w14:paraId="63F44A7E" w14:textId="77777777" w:rsidR="00E7212E" w:rsidRPr="002A677E" w:rsidRDefault="00E7212E" w:rsidP="00BF7D57">
            <w:pPr>
              <w:rPr>
                <w:rFonts w:ascii="Times New Roman" w:hAnsi="Times New Roman"/>
                <w:b/>
                <w:sz w:val="24"/>
                <w:u w:val="single"/>
              </w:rPr>
            </w:pPr>
            <w:r>
              <w:rPr>
                <w:rFonts w:ascii="Times New Roman" w:hAnsi="Times New Roman"/>
                <w:sz w:val="24"/>
              </w:rPr>
              <w:t>De instellingen rapporteren de som van alle kolommen van 0010 tot en met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rPr>
            </w:pPr>
            <w:r>
              <w:rPr>
                <w:rFonts w:ascii="Times New Roman" w:hAnsi="Times New Roman"/>
                <w:sz w:val="24"/>
              </w:rPr>
              <w:t>Rijen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rPr>
            </w:pPr>
            <w:r>
              <w:rPr>
                <w:rFonts w:ascii="Times New Roman" w:hAnsi="Times New Roman"/>
                <w:sz w:val="24"/>
              </w:rPr>
              <w:t>Instructies</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Totaal minimumdekkingsvereiste</w:t>
            </w:r>
          </w:p>
          <w:p w14:paraId="1C8DD96C" w14:textId="77777777" w:rsidR="00E7212E" w:rsidRPr="002A677E" w:rsidRDefault="00E7212E" w:rsidP="00BF7D57">
            <w:pPr>
              <w:rPr>
                <w:rFonts w:ascii="Times New Roman" w:hAnsi="Times New Roman"/>
                <w:sz w:val="24"/>
              </w:rPr>
            </w:pPr>
            <w:r>
              <w:rPr>
                <w:rFonts w:ascii="Times New Roman" w:hAnsi="Times New Roman"/>
                <w:sz w:val="24"/>
              </w:rPr>
              <w:t>Artikel 47 quater, lid 1, punt a), en artikel 47 quater, lid 6, van Verordening (EU) nr. 575/2013</w:t>
            </w:r>
          </w:p>
          <w:p w14:paraId="08DABFBB" w14:textId="77777777" w:rsidR="00E7212E" w:rsidRPr="002A677E" w:rsidRDefault="00E7212E" w:rsidP="00BF7D57">
            <w:pPr>
              <w:rPr>
                <w:rFonts w:ascii="Times New Roman" w:hAnsi="Times New Roman"/>
                <w:sz w:val="24"/>
              </w:rPr>
            </w:pPr>
            <w:r>
              <w:rPr>
                <w:rFonts w:ascii="Times New Roman" w:hAnsi="Times New Roman"/>
                <w:sz w:val="24"/>
              </w:rPr>
              <w:t>Voor de berekening van het totale minimumdekkingsvereiste van niet-renderende respijtblootstellingen die onder artikel 47 quater, lid 6, van Verordening (EU) nr. 575/2013 vallen, tellen de instellingen de minimumdekkingsvereisten voor het niet-gedekte deel van niet-renderende respijtblootstellingen (rij 0020), het deel van niet-renderende respijtblootstellingen dat gedekt wordt door onroerend goed of dat woonkrediet is dat gedekt wordt door een toelaatbare protectiegever (rij 0030), en het deel van niet-renderende respijtblootstellingen dat gedekt wordt door andere volgestorte of niet-volgestorte kredietprotectie (rij 0040), bij elkaar op.</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Niet-gedekt deel van NPE’s</w:t>
            </w:r>
          </w:p>
          <w:p w14:paraId="01C888D8" w14:textId="77777777" w:rsidR="00E7212E" w:rsidRPr="002A677E" w:rsidRDefault="00E7212E" w:rsidP="00BF7D57">
            <w:pPr>
              <w:rPr>
                <w:rFonts w:ascii="Times New Roman" w:hAnsi="Times New Roman"/>
                <w:sz w:val="24"/>
              </w:rPr>
            </w:pPr>
            <w:r>
              <w:rPr>
                <w:rFonts w:ascii="Times New Roman" w:hAnsi="Times New Roman"/>
                <w:sz w:val="24"/>
              </w:rPr>
              <w:t>Artikel 47 quater, lid 1, punt a), i), artikel 47 quater, lid 2, en artikel 47 quater, lid 6, van Verordening (EU) nr. 575/2013</w:t>
            </w:r>
          </w:p>
          <w:p w14:paraId="0536875C" w14:textId="77777777" w:rsidR="00E7212E" w:rsidRPr="002A677E" w:rsidRDefault="00E7212E" w:rsidP="00BF7D57">
            <w:pPr>
              <w:rPr>
                <w:rFonts w:ascii="Times New Roman" w:hAnsi="Times New Roman"/>
                <w:sz w:val="24"/>
              </w:rPr>
            </w:pPr>
            <w:r>
              <w:rPr>
                <w:rFonts w:ascii="Times New Roman" w:hAnsi="Times New Roman"/>
                <w:sz w:val="24"/>
              </w:rPr>
              <w:t>De instellingen rapporteren het totale minimumdekkingsvereiste voor het niet-gedekte deel van niet-renderende respijtblootstellingen die onder artikel 47 quater, lid 6, van Verordening (EU) nr. 575/2013 vallen, d.w.z. de som van berekeningen op blootstellingsniveau.</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Deel van NPE’s gedekt door onroerend goed of dat woonkrediet is dat gedekt wordt door een toelaatbare protectiegever</w:t>
            </w:r>
          </w:p>
          <w:p w14:paraId="073D5D9E" w14:textId="77777777" w:rsidR="00E7212E" w:rsidRPr="002A677E" w:rsidRDefault="00E7212E" w:rsidP="00BF7D57">
            <w:pPr>
              <w:rPr>
                <w:rFonts w:ascii="Times New Roman" w:hAnsi="Times New Roman"/>
                <w:sz w:val="24"/>
              </w:rPr>
            </w:pPr>
            <w:r>
              <w:rPr>
                <w:rFonts w:ascii="Times New Roman" w:hAnsi="Times New Roman"/>
                <w:sz w:val="24"/>
              </w:rPr>
              <w:t>Artikel 47 quater, lid 1, punt a), ii), artikel 47 quater, lid 3, punten a), b), c), d), f), h) en i), en artikel 47 quater, lid 6, van Verordening (EU) nr. 575/2013</w:t>
            </w:r>
          </w:p>
          <w:p w14:paraId="583D1B90"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De instellingen rapporteren het totale minimumdekkingsvereiste voor delen van niet-renderende respijtblootstellingen die door onroerend goed overeenkomstig deel drie, titel II, van Verordening (EU) nr. 575/2013 worden gedekt of die woonkredieten zijn die gedekt zijn door een toelaatbare protectiegever als bedoeld in artikel 201 van die verordening, en die onder artikel 47 quater, lid 6, van die verordening vallen, d.w.z. de som van berekeningen op blootstellingsniveau.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Deel van NPE’s gedekt door andere volgestorte of niet-volgestorte kredietprotectie</w:t>
            </w:r>
          </w:p>
          <w:p w14:paraId="001BEF19" w14:textId="77777777" w:rsidR="00E7212E" w:rsidRPr="002A677E" w:rsidRDefault="00E7212E" w:rsidP="00BF7D57">
            <w:pPr>
              <w:rPr>
                <w:rFonts w:ascii="Times New Roman" w:hAnsi="Times New Roman"/>
                <w:sz w:val="24"/>
              </w:rPr>
            </w:pPr>
            <w:r>
              <w:rPr>
                <w:rFonts w:ascii="Times New Roman" w:hAnsi="Times New Roman"/>
                <w:sz w:val="24"/>
              </w:rPr>
              <w:t>Artikel 47 quater, lid 1, punt a), ii), artikel 47 quater, lid 3, punten a), b), c), e) en g), en artikel 47 quater, lid 6, van Verordening (EU) nr. 575/2013</w:t>
            </w:r>
          </w:p>
          <w:p w14:paraId="4AB04E40" w14:textId="77777777" w:rsidR="00E7212E" w:rsidRPr="002A677E" w:rsidRDefault="00E7212E" w:rsidP="00BF7D57">
            <w:pPr>
              <w:rPr>
                <w:rFonts w:ascii="Times New Roman" w:hAnsi="Times New Roman"/>
                <w:sz w:val="24"/>
              </w:rPr>
            </w:pPr>
            <w:r>
              <w:rPr>
                <w:rFonts w:ascii="Times New Roman" w:hAnsi="Times New Roman"/>
                <w:sz w:val="24"/>
              </w:rPr>
              <w:t>De instellingen rapporteren het totale minimumdekkingsvereiste voor delen van niet-renderende respijtblootstellingen die gedekt zijn door andere volgestorte of niet-volgestorte kredietprotectie, en die onder artikel 47 quater, lid 6, van Verordening (EU) nr. 575/2013 vallen, d.w.z. de som van berekeningen op blootstellingsniveau.</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Blootstellingswaarde</w:t>
            </w:r>
          </w:p>
          <w:p w14:paraId="1D4AA342" w14:textId="77777777" w:rsidR="00E7212E" w:rsidRPr="002A677E" w:rsidRDefault="00E7212E" w:rsidP="00BF7D57">
            <w:pPr>
              <w:rPr>
                <w:rFonts w:ascii="Times New Roman" w:hAnsi="Times New Roman"/>
                <w:sz w:val="24"/>
              </w:rPr>
            </w:pPr>
            <w:r>
              <w:rPr>
                <w:rFonts w:ascii="Times New Roman" w:hAnsi="Times New Roman"/>
                <w:sz w:val="24"/>
              </w:rPr>
              <w:t>Artikel 47 bis, lid 2, en artikel 47 quater, lid 6, van Verordening (EU) nr. 575/2013</w:t>
            </w:r>
          </w:p>
          <w:p w14:paraId="5365D67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Voor de berekening van de blootstellingswaarde tellen de instellingen de blootstellingswaarden voor het niet-gedekte deel van NPE’s (rij 0060), het deel van NPE’s dat door onroerend goed gedekt wordt of dat woonkrediet is dat gedekt wordt door een toelaatbare protectiegever (rij 0070), en het deel van NPE’s dat gedekt wordt door andere volgestorte of niet-volgestorte kredietprotectie (rij 0120), indien van toepassing, bij elkaar op.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Niet-gedekt deel van NPE’s</w:t>
            </w:r>
          </w:p>
          <w:p w14:paraId="5A3C8BE2" w14:textId="77777777" w:rsidR="00E7212E" w:rsidRPr="002A677E" w:rsidRDefault="00E7212E" w:rsidP="00BF7D57">
            <w:pPr>
              <w:jc w:val="left"/>
              <w:rPr>
                <w:rFonts w:ascii="Times New Roman" w:hAnsi="Times New Roman"/>
                <w:sz w:val="24"/>
              </w:rPr>
            </w:pPr>
            <w:r>
              <w:rPr>
                <w:rFonts w:ascii="Times New Roman" w:hAnsi="Times New Roman"/>
                <w:sz w:val="24"/>
              </w:rPr>
              <w:t>Artikel 47 bis, lid 2, en artikel 47 quater, leden 1, 2 en 6, van Verordening (EU) nr. 575/2013</w:t>
            </w:r>
          </w:p>
          <w:p w14:paraId="5FCF3D88" w14:textId="77777777" w:rsidR="00E7212E" w:rsidRPr="002A677E" w:rsidRDefault="00E7212E" w:rsidP="00BF7D57">
            <w:pPr>
              <w:rPr>
                <w:rFonts w:ascii="Times New Roman" w:hAnsi="Times New Roman"/>
                <w:b/>
                <w:sz w:val="24"/>
                <w:u w:val="single"/>
              </w:rPr>
            </w:pPr>
            <w:r>
              <w:rPr>
                <w:rFonts w:ascii="Times New Roman" w:hAnsi="Times New Roman"/>
                <w:sz w:val="24"/>
              </w:rPr>
              <w:t>De instellingen rapporteren de totale blootstellingswaarde van het niet-gedekte deel van niet-renderende respijtblootstellingen die onder artikel 47 quater, lid 6, van Verordening (EU) nr. 575/2013 vallen, indien de eerste respijtmaatregel is toegekend tussen de eerste en de laatste dag van het tweede jaar na de classificatie van de blootstelling als niet-renderend (&gt; 1 jaar; ≤ 2 jaar).</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Deel van NPE’s gedekt door onroerend goed of dat woonkrediet is dat gedekt wordt door een toelaatbare protectiegever</w:t>
            </w:r>
          </w:p>
          <w:p w14:paraId="6D8528EC" w14:textId="77777777" w:rsidR="00E7212E" w:rsidRPr="002A677E" w:rsidRDefault="00E7212E" w:rsidP="00BF7D57">
            <w:pPr>
              <w:rPr>
                <w:rFonts w:ascii="Times New Roman" w:hAnsi="Times New Roman"/>
                <w:sz w:val="24"/>
              </w:rPr>
            </w:pPr>
            <w:r>
              <w:rPr>
                <w:rFonts w:ascii="Times New Roman" w:hAnsi="Times New Roman"/>
                <w:sz w:val="24"/>
              </w:rPr>
              <w:t>Artikel 47 quater, lid 2, artikel 47 quater, lid 1, en artikel 47 quater, lid 3, punten a), b), c), d), f), h) en i), en artikel 47 quater, lid 6, van Verordening (EU) nr. 575/2013</w:t>
            </w:r>
          </w:p>
          <w:p w14:paraId="287FCDE3" w14:textId="77777777" w:rsidR="00E7212E" w:rsidRPr="002A677E" w:rsidRDefault="00E7212E" w:rsidP="00BF7D57">
            <w:pPr>
              <w:rPr>
                <w:rFonts w:ascii="Times New Roman" w:hAnsi="Times New Roman"/>
                <w:b/>
                <w:sz w:val="24"/>
                <w:u w:val="single"/>
              </w:rPr>
            </w:pPr>
            <w:r>
              <w:rPr>
                <w:rFonts w:ascii="Times New Roman" w:hAnsi="Times New Roman"/>
                <w:sz w:val="24"/>
              </w:rPr>
              <w:t>De instellingen rapporteren de totale blootstellingswaarde van de delen van NPE’s die onder artikel 47 quater, lid 6, van Verordening (EU) nr. 575/2013 vallen en door onroerend goed overeenkomstig deel drie, titel II, van die verordening worden gedekt of die woonkredieten zijn die gedekt worden door een toelaatbare protectiegever als bedoeld in artikel 201 van die verordening.</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en ≤ 3 jaar na classificatie als NPE</w:t>
            </w:r>
          </w:p>
          <w:p w14:paraId="132D2A99" w14:textId="77777777" w:rsidR="00E7212E" w:rsidRPr="002A677E" w:rsidRDefault="00E7212E" w:rsidP="00BF7D57">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onroerend goed worden gedekt of die woonkrediet zijn dat gedekt wordt door een toelaatbare protectiegever, indien de eerste respijtmaatregel is toegekend tussen de eerste en de laatste dag van het derde jaar na de classificatie van de blootstelling als niet-renderend.</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en ≤ 4 jaar na classificatie als NPE</w:t>
            </w:r>
          </w:p>
          <w:p w14:paraId="5A90152E" w14:textId="77777777" w:rsidR="00E7212E" w:rsidRPr="002A677E" w:rsidRDefault="00E7212E" w:rsidP="00BF7D57">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onroerend goed worden gedekt of die woonkrediet zijn dat gedekt wordt door een toelaatbare protectiegever, indien de eerste respijtmaatregel is toegekend tussen de eerste en de laatste dag van het vierde jaar na de classificatie van de blootstelling als niet-renderend.</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en ≤ 5 jaar na classificatie als NPE</w:t>
            </w:r>
          </w:p>
          <w:p w14:paraId="5C5E573C" w14:textId="77777777" w:rsidR="00E7212E" w:rsidRPr="002A677E" w:rsidRDefault="00E7212E" w:rsidP="00BF7D57">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onroerend goed worden gedekt of die woonkrediet zijn dat gedekt wordt door een toelaatbare protectiegever, indien de eerste respijtmaatregel is toegekend tussen de eerste en de laatste dag van het vijfde jaar na de classificatie van de blootstelling als niet-renderend.</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en ≤ 6 jaar na classificatie als NPE</w:t>
            </w:r>
          </w:p>
          <w:p w14:paraId="59F81DBE" w14:textId="77777777" w:rsidR="00E7212E" w:rsidRPr="002A677E" w:rsidRDefault="00E7212E" w:rsidP="00BF7D57">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onroerend goed worden gedekt of die woonkrediet zijn dat door een toelaatbare protectiegever gedekt wordt, indien de eerste respijtmaatregel is toegekend tussen de eerste en de laatste dag van het zesde jaar na de classificatie van de blootstelling als niet-renderend.</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Pr>
                <w:rFonts w:ascii="Times New Roman" w:hAnsi="Times New Roman"/>
                <w:b/>
                <w:sz w:val="24"/>
              </w:rPr>
              <w:t>Deel van NPE’s gedekt door andere volgestorte of niet-volgestorte kredietprotectie</w:t>
            </w:r>
          </w:p>
          <w:p w14:paraId="4697BFEE" w14:textId="77777777" w:rsidR="00E7212E" w:rsidRPr="002A677E" w:rsidRDefault="00E7212E" w:rsidP="00BF7D57">
            <w:pPr>
              <w:jc w:val="left"/>
              <w:rPr>
                <w:rFonts w:ascii="Times New Roman" w:hAnsi="Times New Roman"/>
                <w:sz w:val="24"/>
              </w:rPr>
            </w:pPr>
            <w:r>
              <w:rPr>
                <w:rFonts w:ascii="Times New Roman" w:hAnsi="Times New Roman"/>
                <w:sz w:val="24"/>
              </w:rPr>
              <w:t>Artikel 47 quater, lid 1, artikel 47 quater, lid 3, punten a), b), c), e) en g), en artikel 47 quater, lid 6, van Verordening (EU) nr. 575/2013</w:t>
            </w:r>
          </w:p>
          <w:p w14:paraId="46AAEE0B" w14:textId="77777777" w:rsidR="00E7212E" w:rsidRPr="002A677E" w:rsidRDefault="00E7212E" w:rsidP="00BF7D57">
            <w:pPr>
              <w:rPr>
                <w:rFonts w:ascii="Times New Roman" w:hAnsi="Times New Roman"/>
                <w:b/>
                <w:sz w:val="24"/>
                <w:u w:val="single"/>
              </w:rPr>
            </w:pPr>
            <w:r>
              <w:rPr>
                <w:rFonts w:ascii="Times New Roman" w:hAnsi="Times New Roman"/>
                <w:sz w:val="24"/>
              </w:rPr>
              <w:t>De instellingen rapporteren de totale blootstellingswaarde van de delen van NPE’s die onder artikel 47 quater, lid 6, van Verordening (EU) nr. 575/2013 vallen en gedekt worden door andere volgestorte of niet-volgestorte kredietprotectie overeenkomstig deel drie, titel II, van Verordening (EU) nr. 575/2013.</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en ≤ 3 jaar na classificatie als NPE</w:t>
            </w:r>
          </w:p>
          <w:p w14:paraId="3196D6C6" w14:textId="77777777" w:rsidR="00E7212E" w:rsidRPr="002A677E" w:rsidRDefault="00E7212E" w:rsidP="00BF7D57">
            <w:pPr>
              <w:rPr>
                <w:rFonts w:ascii="Times New Roman" w:hAnsi="Times New Roman"/>
                <w:b/>
                <w:sz w:val="24"/>
              </w:rPr>
            </w:pPr>
            <w:r>
              <w:rPr>
                <w:rFonts w:ascii="Times New Roman" w:hAnsi="Times New Roman"/>
                <w:sz w:val="24"/>
              </w:rPr>
              <w:t>De instellingen rapporteren de blootstellingswaarde van onder artikel 47 quater, lid 6, van Verordening (EU) nr. 575/2013 vallende niet-renderende respijtblootstellingen die door andere volgestorte of niet-volgestorte kredietprotectie worden gedekt, indien de eerste respijtmaatregel is toegekend tussen de eerste en de laatste dag van het derde jaar na de classificatie van de blootstelling als niet-renderend.</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en ≤ 4 jaar na classificatie als NPE</w:t>
            </w:r>
          </w:p>
          <w:p w14:paraId="601D14A8" w14:textId="77777777" w:rsidR="00E7212E" w:rsidRPr="002A677E" w:rsidRDefault="00E7212E" w:rsidP="00BF7D57">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andere volgestorte of niet-volgestorte kredietprotectie worden gedekt, indien de eerste respijtmaatregel is toegekend tussen de eerste en de laatste dag van het vierde jaar na de classificatie van de blootstelling als niet-renderend.</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en ≤ 5 jaar na classificatie als NPE</w:t>
            </w:r>
          </w:p>
          <w:p w14:paraId="2D884E88" w14:textId="77777777" w:rsidR="00E7212E" w:rsidRPr="002A677E" w:rsidRDefault="00E7212E" w:rsidP="00BF7D57">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andere volgestorte of niet-volgestorte kredietprotectie worden gedekt, indien de eerste respijtmaatregel is toegekend tussen de eerste en de laatste dag van het vijfde jaar na de classificatie van de blootstelling als niet-renderend.</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en ≤ 6 jaar na classificatie als NPE</w:t>
            </w:r>
          </w:p>
          <w:p w14:paraId="337D9061" w14:textId="77777777" w:rsidR="00E7212E" w:rsidRPr="002A677E" w:rsidRDefault="00E7212E" w:rsidP="00BF7D57">
            <w:pPr>
              <w:rPr>
                <w:rFonts w:ascii="Times New Roman" w:hAnsi="Times New Roman"/>
                <w:b/>
                <w:sz w:val="24"/>
                <w:u w:val="single"/>
              </w:rPr>
            </w:pPr>
            <w:r>
              <w:rPr>
                <w:rFonts w:ascii="Times New Roman" w:hAnsi="Times New Roman"/>
                <w:sz w:val="24"/>
              </w:rPr>
              <w:t>De instellingen rapporteren de blootstellingswaarde van onder artikel 47 quater, lid 6, van Verordening (EU) nr. 575/2013 vallende niet-renderende respijtblootstellingen die door andere volgestorte of niet-volgestorte kredietprotectie worden gedekt, indien de eerste respijtmaatregel is toegekend tussen de eerste en de laatste dag van het zesde jaar na de classificatie van de blootstelling als niet-renderend.”</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6111F"/>
    <w:rsid w:val="003952A8"/>
    <w:rsid w:val="00483B10"/>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EF099F"/>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nl-NL"/>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375C82-2C7E-405D-8139-12D7E91DC68B}"/>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4090</Words>
  <Characters>22742</Characters>
  <Application>Microsoft Office Word</Application>
  <DocSecurity>0</DocSecurity>
  <Lines>483</Lines>
  <Paragraphs>285</Paragraphs>
  <ScaleCrop>false</ScaleCrop>
  <Company/>
  <LinksUpToDate>false</LinksUpToDate>
  <CharactersWithSpaces>26547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2025-01-24T10:07:11Z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a06866a7-be9c-4067-8c54-900161d95de9</vt:lpwstr>
  </property>
  <property fmtid="{D5CDD505-2E9C-101B-9397-08002B2CF9AE}" pid="9" name="MSIP_Label_6bd9ddd1-4d20-43f6-abfa-fc3c07406f94_ContentBits">
    <vt:lpwstr>0</vt:lpwstr>
  </property>
</Properties>
</file>